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59" w:rsidRDefault="00060959" w:rsidP="00060959">
      <w:pPr>
        <w:tabs>
          <w:tab w:val="left" w:pos="4500"/>
        </w:tabs>
        <w:suppressAutoHyphens/>
        <w:spacing w:after="0" w:line="180" w:lineRule="exact"/>
        <w:jc w:val="right"/>
        <w:rPr>
          <w:rFonts w:ascii="Arial" w:eastAsia="Times New Roman" w:hAnsi="Arial" w:cs="Arial"/>
          <w:iCs/>
          <w:color w:val="333333"/>
          <w:sz w:val="16"/>
          <w:szCs w:val="16"/>
          <w:lang w:eastAsia="ar-SA"/>
        </w:rPr>
      </w:pPr>
    </w:p>
    <w:p w:rsidR="00060959" w:rsidRDefault="00060959" w:rsidP="00060959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8"/>
          <w:lang w:eastAsia="ar-SA"/>
        </w:rPr>
      </w:pPr>
      <w:r>
        <w:rPr>
          <w:rFonts w:ascii="Arial" w:eastAsia="Times New Roman" w:hAnsi="Arial" w:cs="Arial"/>
          <w:b/>
          <w:spacing w:val="20"/>
          <w:sz w:val="24"/>
          <w:szCs w:val="28"/>
          <w:lang w:eastAsia="ar-SA"/>
        </w:rPr>
        <w:t>PROGRAM SPECJALNOŚCI</w:t>
      </w:r>
    </w:p>
    <w:p w:rsidR="00060959" w:rsidRDefault="00060959" w:rsidP="00060959">
      <w:pPr>
        <w:suppressAutoHyphens/>
        <w:spacing w:after="120" w:line="240" w:lineRule="auto"/>
        <w:jc w:val="center"/>
        <w:rPr>
          <w:rFonts w:ascii="Arial" w:eastAsia="Times New Roman" w:hAnsi="Arial" w:cs="Arial"/>
          <w:bCs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060959" w:rsidRPr="00345883" w:rsidTr="008D5C0D">
        <w:trPr>
          <w:trHeight w:val="998"/>
        </w:trPr>
        <w:tc>
          <w:tcPr>
            <w:tcW w:w="4860" w:type="dxa"/>
            <w:vAlign w:val="center"/>
          </w:tcPr>
          <w:p w:rsidR="00060959" w:rsidRPr="00060959" w:rsidRDefault="00060959" w:rsidP="008D5C0D">
            <w:pPr>
              <w:suppressAutoHyphens/>
              <w:snapToGrid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16"/>
                <w:lang w:val="pl-PL" w:eastAsia="ar-SA"/>
              </w:rPr>
            </w:pPr>
            <w:r w:rsidRPr="00060959">
              <w:rPr>
                <w:rFonts w:ascii="Arial" w:eastAsia="Times New Roman" w:hAnsi="Arial" w:cs="Arial"/>
                <w:sz w:val="24"/>
                <w:szCs w:val="16"/>
                <w:lang w:val="pl-PL" w:eastAsia="ar-SA"/>
              </w:rPr>
              <w:t xml:space="preserve">przyjęty przez Radę Instytutu dnia </w:t>
            </w:r>
          </w:p>
          <w:p w:rsidR="00060959" w:rsidRPr="00060959" w:rsidRDefault="00060959" w:rsidP="008D5C0D">
            <w:pPr>
              <w:suppressAutoHyphens/>
              <w:snapToGrid w:val="0"/>
              <w:spacing w:before="120" w:after="60" w:line="240" w:lineRule="auto"/>
              <w:rPr>
                <w:rFonts w:ascii="Arial" w:eastAsia="Times New Roman" w:hAnsi="Arial" w:cs="Arial"/>
                <w:sz w:val="24"/>
                <w:szCs w:val="16"/>
                <w:lang w:val="pl-PL" w:eastAsia="ar-SA"/>
              </w:rPr>
            </w:pPr>
          </w:p>
          <w:p w:rsidR="00060959" w:rsidRPr="00060959" w:rsidRDefault="00345883" w:rsidP="00345883">
            <w:pPr>
              <w:suppressAutoHyphens/>
              <w:snapToGrid w:val="0"/>
              <w:spacing w:before="120" w:after="60" w:line="240" w:lineRule="auto"/>
              <w:jc w:val="center"/>
              <w:rPr>
                <w:rFonts w:ascii="Arial" w:eastAsia="Times New Roman" w:hAnsi="Arial" w:cs="Arial"/>
                <w:sz w:val="24"/>
                <w:szCs w:val="16"/>
                <w:lang w:val="pl-PL" w:eastAsia="ar-SA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val="pl-PL" w:eastAsia="ar-SA"/>
              </w:rPr>
              <w:t>08.06.2022 r.</w:t>
            </w:r>
            <w:bookmarkStart w:id="0" w:name="_GoBack"/>
            <w:bookmarkEnd w:id="0"/>
          </w:p>
        </w:tc>
        <w:tc>
          <w:tcPr>
            <w:tcW w:w="4706" w:type="dxa"/>
            <w:shd w:val="clear" w:color="auto" w:fill="EFF6FF"/>
            <w:vAlign w:val="center"/>
          </w:tcPr>
          <w:p w:rsidR="00060959" w:rsidRPr="00060959" w:rsidRDefault="00060959" w:rsidP="008D5C0D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iCs/>
                <w:color w:val="333333"/>
                <w:spacing w:val="20"/>
                <w:sz w:val="24"/>
                <w:szCs w:val="20"/>
                <w:lang w:val="pl-PL" w:eastAsia="ar-SA"/>
              </w:rPr>
            </w:pPr>
          </w:p>
        </w:tc>
      </w:tr>
    </w:tbl>
    <w:p w:rsidR="00060959" w:rsidRPr="00060959" w:rsidRDefault="00060959" w:rsidP="00060959">
      <w:pPr>
        <w:suppressAutoHyphens/>
        <w:spacing w:after="0" w:line="240" w:lineRule="auto"/>
        <w:rPr>
          <w:rFonts w:ascii="Arial" w:eastAsia="Times New Roman" w:hAnsi="Arial" w:cs="Arial"/>
          <w:color w:val="333333"/>
          <w:sz w:val="24"/>
          <w:szCs w:val="6"/>
          <w:lang w:val="pl-PL" w:eastAsia="ar-SA"/>
        </w:rPr>
      </w:pPr>
    </w:p>
    <w:p w:rsidR="00060959" w:rsidRPr="00060959" w:rsidRDefault="00060959" w:rsidP="00060959">
      <w:pPr>
        <w:suppressAutoHyphens/>
        <w:spacing w:after="0" w:line="240" w:lineRule="auto"/>
        <w:rPr>
          <w:rFonts w:ascii="Arial" w:eastAsia="Times New Roman" w:hAnsi="Arial" w:cs="Arial"/>
          <w:color w:val="333333"/>
          <w:sz w:val="24"/>
          <w:szCs w:val="6"/>
          <w:lang w:val="pl-PL"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060959" w:rsidTr="008D5C0D">
        <w:trPr>
          <w:trHeight w:val="304"/>
        </w:trPr>
        <w:tc>
          <w:tcPr>
            <w:tcW w:w="2880" w:type="dxa"/>
            <w:vAlign w:val="center"/>
          </w:tcPr>
          <w:p w:rsidR="00060959" w:rsidRPr="00060959" w:rsidRDefault="00060959" w:rsidP="008D5C0D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333333"/>
                <w:sz w:val="24"/>
                <w:szCs w:val="16"/>
                <w:lang w:val="pl-PL" w:eastAsia="ar-SA"/>
              </w:rPr>
            </w:pPr>
          </w:p>
          <w:p w:rsidR="00060959" w:rsidRDefault="00060959" w:rsidP="008D5C0D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00" w:lineRule="exact"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333333"/>
                <w:sz w:val="24"/>
                <w:szCs w:val="16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color w:val="333333"/>
                <w:sz w:val="24"/>
                <w:szCs w:val="16"/>
                <w:lang w:eastAsia="ar-SA"/>
              </w:rPr>
              <w:t>Nazwa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333333"/>
                <w:sz w:val="24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333333"/>
                <w:sz w:val="24"/>
                <w:szCs w:val="16"/>
                <w:lang w:eastAsia="ar-SA"/>
              </w:rPr>
              <w:t>specjalności</w:t>
            </w:r>
            <w:proofErr w:type="spellEnd"/>
          </w:p>
          <w:p w:rsidR="00060959" w:rsidRDefault="00060959" w:rsidP="008D5C0D">
            <w:pPr>
              <w:keepNext/>
              <w:suppressAutoHyphens/>
              <w:spacing w:after="0" w:line="200" w:lineRule="exact"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333333"/>
                <w:sz w:val="24"/>
                <w:szCs w:val="16"/>
                <w:lang w:eastAsia="ar-SA"/>
              </w:rPr>
            </w:pPr>
          </w:p>
        </w:tc>
        <w:tc>
          <w:tcPr>
            <w:tcW w:w="6660" w:type="dxa"/>
            <w:vAlign w:val="center"/>
          </w:tcPr>
          <w:p w:rsidR="00060959" w:rsidRDefault="00060959" w:rsidP="008D5C0D">
            <w:pPr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ar-SA"/>
              </w:rPr>
              <w:t>Pedagogika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ar-SA"/>
              </w:rPr>
              <w:t>resocjalizacyjna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ar-SA"/>
              </w:rPr>
              <w:t>niestacjonarne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ar-SA"/>
              </w:rPr>
              <w:t>)</w:t>
            </w:r>
          </w:p>
        </w:tc>
      </w:tr>
    </w:tbl>
    <w:p w:rsidR="00060959" w:rsidRDefault="00060959" w:rsidP="0006095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60959" w:rsidRDefault="00060959" w:rsidP="0006095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060959" w:rsidTr="008D5C0D">
        <w:trPr>
          <w:cantSplit/>
          <w:trHeight w:val="616"/>
        </w:trPr>
        <w:tc>
          <w:tcPr>
            <w:tcW w:w="2880" w:type="dxa"/>
            <w:vAlign w:val="center"/>
          </w:tcPr>
          <w:p w:rsidR="00060959" w:rsidRDefault="00060959" w:rsidP="008D5C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Liczba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punktów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ECTS</w:t>
            </w:r>
          </w:p>
        </w:tc>
        <w:tc>
          <w:tcPr>
            <w:tcW w:w="6660" w:type="dxa"/>
          </w:tcPr>
          <w:p w:rsidR="00060959" w:rsidRPr="008D5C0D" w:rsidRDefault="00060959" w:rsidP="008D5C0D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</w:t>
            </w:r>
            <w:r w:rsidRPr="008D5C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</w:t>
            </w:r>
          </w:p>
        </w:tc>
      </w:tr>
    </w:tbl>
    <w:p w:rsidR="00060959" w:rsidRDefault="00060959" w:rsidP="00060959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:rsidR="00060959" w:rsidRDefault="00060959" w:rsidP="00060959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:rsidR="00060959" w:rsidRDefault="00060959" w:rsidP="00060959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szCs w:val="20"/>
          <w:lang w:eastAsia="ar-SA"/>
        </w:rPr>
        <w:t>Uzyskiwane kwalifikacje oraz uprawnienia zawodowe:</w:t>
      </w:r>
    </w:p>
    <w:p w:rsidR="00060959" w:rsidRPr="00060959" w:rsidRDefault="00060959" w:rsidP="00060959">
      <w:pPr>
        <w:suppressAutoHyphens/>
        <w:spacing w:after="0" w:line="240" w:lineRule="auto"/>
        <w:rPr>
          <w:rFonts w:eastAsia="Times New Roman" w:cstheme="minorHAnsi"/>
          <w:color w:val="1F497D"/>
          <w:u w:val="single"/>
          <w:lang w:val="pl-PL"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060959" w:rsidRPr="00345883" w:rsidTr="008D5C0D">
        <w:trPr>
          <w:trHeight w:val="718"/>
        </w:trPr>
        <w:tc>
          <w:tcPr>
            <w:tcW w:w="9540" w:type="dxa"/>
          </w:tcPr>
          <w:p w:rsidR="00060959" w:rsidRPr="008D5C0D" w:rsidRDefault="00060959" w:rsidP="008D5C0D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Absolwent uzyskuje kwalifikacje do pełnienia ról zawodowych w zakresie: </w:t>
            </w:r>
            <w:r w:rsidRPr="008D5C0D"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>pedagoga specjalnego w pracy z dziećmi i młodzieżą zdemoralizowaną i zagrożoną niedostosowaniem bądź wykluczeniem społecznym;</w:t>
            </w:r>
            <w:r w:rsidRPr="008D5C0D">
              <w:rPr>
                <w:rStyle w:val="eop"/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pl-PL"/>
              </w:rPr>
              <w:t>wychowawcy penitencjarnego w zakładach karnych i aresztach śledczych wszystkich rodzajów; </w:t>
            </w:r>
            <w:r w:rsidRPr="008D5C0D"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pl-PL"/>
              </w:rPr>
              <w:t>kuratora sądowego (społecznego i po aplikacji kuratorskiej – zawodowego);</w:t>
            </w:r>
            <w:r w:rsidRPr="008D5C0D"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pl-PL"/>
              </w:rPr>
              <w:t>wychowawcy w młodzieżowych ośrodkach wychowawczych i socjoterapeutycznych;</w:t>
            </w:r>
            <w:r w:rsidRPr="008D5C0D"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D5C0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pl-PL"/>
              </w:rPr>
              <w:t>zakładach poprawczych;</w:t>
            </w:r>
            <w:r w:rsidRPr="008D5C0D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>schroniskach dla nieletnich; </w:t>
            </w:r>
            <w:r w:rsidRPr="008D5C0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>placówkach opiekuńczo-wychowawczych i wsparcia dziennego;</w:t>
            </w:r>
            <w:r w:rsidRPr="008D5C0D">
              <w:rPr>
                <w:rStyle w:val="eop"/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>pedagoga w poradniach psychologiczno-pedagogicznych;</w:t>
            </w:r>
            <w:r w:rsidRPr="008D5C0D">
              <w:rPr>
                <w:rStyle w:val="eop"/>
                <w:rFonts w:ascii="Arial" w:hAnsi="Arial" w:cs="Arial"/>
                <w:sz w:val="22"/>
                <w:szCs w:val="22"/>
                <w:lang w:val="pl-PL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>poradniach uzależnień;</w:t>
            </w:r>
            <w:r w:rsidRPr="008D5C0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>izbach dziecka;</w:t>
            </w:r>
            <w:r w:rsidRPr="008D5C0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>pogotowiach opiekuńczych;</w:t>
            </w:r>
            <w:r w:rsidRPr="008D5C0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>ośrodkach wsparcia rodzin;</w:t>
            </w:r>
            <w:r w:rsidRPr="008D5C0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pl-PL"/>
              </w:rPr>
              <w:t>funkcjonariusza policji, wojska, straży miejskiej i pokrewnych służb;</w:t>
            </w:r>
            <w:r w:rsidRPr="008D5C0D"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>opiekuna w placówkach typu interwencyjnego</w:t>
            </w:r>
            <w:r w:rsidRPr="008D5C0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pl-PL"/>
              </w:rPr>
              <w:t>; </w:t>
            </w:r>
            <w:r w:rsidRPr="008D5C0D"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D5C0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streetworkera i </w:t>
            </w:r>
            <w:proofErr w:type="spellStart"/>
            <w:r w:rsidRPr="008D5C0D">
              <w:rPr>
                <w:rStyle w:val="spellingerror"/>
                <w:rFonts w:ascii="Arial" w:hAnsi="Arial" w:cs="Arial"/>
                <w:color w:val="000000"/>
                <w:sz w:val="22"/>
                <w:szCs w:val="22"/>
                <w:lang w:val="pl-PL"/>
              </w:rPr>
              <w:t>partyworkera</w:t>
            </w:r>
            <w:proofErr w:type="spellEnd"/>
            <w:r w:rsidRPr="008D5C0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pl-PL"/>
              </w:rPr>
              <w:t>;</w:t>
            </w:r>
            <w:r w:rsidRPr="008D5C0D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pl-PL"/>
              </w:rPr>
              <w:t>edukatora społecznego i młodzieży niedostostosowanej społecznie (przygotowanie pedagogiczne);</w:t>
            </w:r>
            <w:r w:rsidRPr="008D5C0D">
              <w:rPr>
                <w:rStyle w:val="eop"/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  <w:p w:rsidR="00060959" w:rsidRPr="008D5C0D" w:rsidRDefault="00060959" w:rsidP="00060959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pl-PL"/>
              </w:rPr>
              <w:t>pracownika organizacji pozarządowych zajmujących się profilaktyką społeczną itp.</w:t>
            </w:r>
          </w:p>
        </w:tc>
      </w:tr>
    </w:tbl>
    <w:p w:rsidR="00060959" w:rsidRDefault="00060959" w:rsidP="00060959">
      <w:pPr>
        <w:pStyle w:val="Stopka"/>
        <w:tabs>
          <w:tab w:val="clear" w:pos="4536"/>
          <w:tab w:val="clear" w:pos="9072"/>
          <w:tab w:val="left" w:pos="9639"/>
        </w:tabs>
        <w:rPr>
          <w:rFonts w:ascii="Arial" w:hAnsi="Arial" w:cs="Arial"/>
          <w:szCs w:val="28"/>
        </w:rPr>
      </w:pPr>
    </w:p>
    <w:p w:rsidR="00060959" w:rsidRDefault="00060959" w:rsidP="00060959">
      <w:pPr>
        <w:pStyle w:val="Stopka"/>
        <w:tabs>
          <w:tab w:val="clear" w:pos="4536"/>
          <w:tab w:val="clear" w:pos="9072"/>
          <w:tab w:val="left" w:pos="9639"/>
        </w:tabs>
        <w:rPr>
          <w:rFonts w:ascii="Arial" w:hAnsi="Arial" w:cs="Arial"/>
          <w:szCs w:val="28"/>
        </w:rPr>
      </w:pPr>
    </w:p>
    <w:p w:rsidR="00060959" w:rsidRDefault="00060959" w:rsidP="00060959">
      <w:pPr>
        <w:pStyle w:val="Stopka"/>
        <w:tabs>
          <w:tab w:val="clear" w:pos="4536"/>
          <w:tab w:val="clear" w:pos="9072"/>
          <w:tab w:val="left" w:pos="9639"/>
        </w:tabs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Efekty uczenia się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150"/>
        <w:gridCol w:w="8157"/>
      </w:tblGrid>
      <w:tr w:rsidR="00060959" w:rsidTr="008D5C0D">
        <w:trPr>
          <w:cantSplit/>
          <w:trHeight w:val="337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060959" w:rsidRDefault="00060959" w:rsidP="008D5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060959" w:rsidRPr="00345883" w:rsidTr="008D5C0D">
        <w:trPr>
          <w:trHeight w:val="452"/>
        </w:trPr>
        <w:tc>
          <w:tcPr>
            <w:tcW w:w="618" w:type="pct"/>
          </w:tcPr>
          <w:p w:rsidR="00060959" w:rsidRDefault="00060959" w:rsidP="008D5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60959">
              <w:rPr>
                <w:rFonts w:ascii="Arial" w:hAnsi="Arial" w:cs="Arial"/>
                <w:b/>
                <w:sz w:val="20"/>
                <w:szCs w:val="20"/>
                <w:lang w:val="pl-PL"/>
              </w:rPr>
              <w:t>W zakresie przygotowania merytorycznego student zna i rozumie:</w:t>
            </w:r>
          </w:p>
        </w:tc>
      </w:tr>
      <w:tr w:rsidR="00060959" w:rsidRPr="00345883" w:rsidTr="008D5C0D">
        <w:trPr>
          <w:trHeight w:val="452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softHyphen/>
              <w:t>W01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podstawy pedagogiki resocjalizacyjnej: definicje, pojęcia, zakresy, rys historyczny, polskie szkoły pedagogiki resocjalizacyjnej – twórców i ich dzieła, współczesne koncepcje i teorie resocjalizacyjne, proces resocjalizacji w teorii i praktyce, dylematy resocjalizacyjne, nieprzystosowanie społeczne; </w:t>
            </w:r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lastRenderedPageBreak/>
              <w:t xml:space="preserve">resocjalizację-readaptację-reintegrację,  działania od izolacji do środowiska otwartego, koncepcje twórczej resocjalizacji jako przykłady odziaływań </w:t>
            </w:r>
            <w:proofErr w:type="spellStart"/>
            <w:r w:rsidRPr="00060959">
              <w:rPr>
                <w:rStyle w:val="spellingerror"/>
                <w:rFonts w:ascii="Arial" w:hAnsi="Arial" w:cs="Arial"/>
                <w:color w:val="000000"/>
                <w:shd w:val="clear" w:color="auto" w:fill="FFFFFF"/>
                <w:lang w:val="pl-PL"/>
              </w:rPr>
              <w:t>destygmatyzujących</w:t>
            </w:r>
            <w:proofErr w:type="spellEnd"/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 i podstawy teoretyczne metodyki pracy resocjalizacyjnej</w:t>
            </w:r>
          </w:p>
        </w:tc>
      </w:tr>
      <w:tr w:rsidR="00060959" w:rsidRPr="00345883" w:rsidTr="008D5C0D">
        <w:trPr>
          <w:trHeight w:val="529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lastRenderedPageBreak/>
              <w:t>W02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  <w:lang w:val="pl-PL"/>
              </w:rPr>
              <w:t>diagnozę psychopedagogiczną w resocjalizacji, diagnozę deficytów, diagnozę potencjałów, modele diagnostyczne, diagnozę źródeł nieprzystosowania społecznego, diagnozę osób zagrożonych i nieprzystosowanych społecznie, diagnozę kryminologiczną</w:t>
            </w:r>
          </w:p>
        </w:tc>
      </w:tr>
      <w:tr w:rsidR="00060959" w:rsidRPr="00345883" w:rsidTr="008D5C0D">
        <w:trPr>
          <w:trHeight w:val="1270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W03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  <w:lang w:val="pl-PL"/>
              </w:rPr>
              <w:t>dewiacje społeczne w perspektywie pedagogiki resocjalizacyjnej, koncepcje, teorie dewiacji społecznych, współczesne tendencje rozwoju dewiacji społecznych, etiologię, skutki dewiacji społecznych, profilaktykę i zapobieganie dewiacjom społecznym</w:t>
            </w:r>
          </w:p>
        </w:tc>
      </w:tr>
      <w:tr w:rsidR="00060959" w:rsidRPr="00345883" w:rsidTr="008D5C0D">
        <w:trPr>
          <w:trHeight w:val="331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W04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  <w:lang w:val="pl-PL"/>
              </w:rPr>
              <w:t>edukację w perspektywie pedagogiki resocjalizacyjnej, rolę szkoły jako środowiska społeczno-wychowawczego oraz środowisko inkluzji społecznej, rolę i zadania nauczycieli, wychowawców, pedagoga szkolnego i pedagoga resocjalizacyjnego, funkcje wychowawcze szkoły, problemy wychowawcze we współczesnej szkole i środowisku szkolnym, specyfikę procesu nauczania i pracy szkolnej w instytucjach, placówkach systemu oświaty i ośrodkach o charakterze resocjalizacyjno-wychowawczym</w:t>
            </w:r>
          </w:p>
        </w:tc>
      </w:tr>
      <w:tr w:rsidR="00060959" w:rsidRPr="00345883" w:rsidTr="008D5C0D">
        <w:trPr>
          <w:trHeight w:val="331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W05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>prawno-społeczne uwarunkowania procesu resocjalizacji w pracy pedagoga: podstawy prawne funkcjonowania systemów resocjalizacji w perspektywie krajowej i międzynarodowej, instytucje oddziaływań profilaktyczno-resocjalizacyjnych w środowisku otwartym, instytucje oddziaływań profilaktyczno-resocjalizacyjnych w środowisku zamkniętym; podstawy kryminologii z elementami wiktymologii; znaczenie organizacji pozarządowych w procesie resocjalizacji; zagadnienia pomocy rodzinie i poradnictwa wychowawczo-resocjalizacyjnego</w:t>
            </w:r>
          </w:p>
        </w:tc>
      </w:tr>
      <w:tr w:rsidR="00060959" w:rsidRPr="00345883" w:rsidTr="008D5C0D">
        <w:trPr>
          <w:trHeight w:val="331"/>
        </w:trPr>
        <w:tc>
          <w:tcPr>
            <w:tcW w:w="618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Style w:val="normaltextrun"/>
                <w:rFonts w:ascii="Arial" w:hAnsi="Arial" w:cs="Arial"/>
                <w:b/>
                <w:color w:val="000000"/>
                <w:shd w:val="clear" w:color="auto" w:fill="FFFFFF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b/>
                <w:color w:val="000000"/>
                <w:shd w:val="clear" w:color="auto" w:fill="FFFFFF"/>
                <w:lang w:val="pl-PL"/>
              </w:rPr>
              <w:t>W zakresie przygotowania dydaktyczno-metodycznego student zna i rozumie:</w:t>
            </w:r>
          </w:p>
        </w:tc>
      </w:tr>
      <w:tr w:rsidR="00060959" w:rsidRPr="00345883" w:rsidTr="008D5C0D">
        <w:trPr>
          <w:trHeight w:val="331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W06</w:t>
            </w:r>
          </w:p>
        </w:tc>
        <w:tc>
          <w:tcPr>
            <w:tcW w:w="4382" w:type="pct"/>
          </w:tcPr>
          <w:p w:rsidR="00060959" w:rsidRPr="008D5C0D" w:rsidRDefault="00060959" w:rsidP="008D5C0D">
            <w:pPr>
              <w:pStyle w:val="paragraph"/>
              <w:spacing w:after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 xml:space="preserve">metodykę oddziaływań w placówkach resocjalizacyjnych; teoretyczne podstawy instytucjonalnych oddziaływań metodycznych; założenia, metody i formy realizacji socjotechniki, psychotechniki, antropotechniki i </w:t>
            </w:r>
            <w:proofErr w:type="spellStart"/>
            <w:r w:rsidRPr="008D5C0D">
              <w:rPr>
                <w:rStyle w:val="spellingerror"/>
                <w:rFonts w:ascii="Arial" w:hAnsi="Arial" w:cs="Arial"/>
                <w:sz w:val="22"/>
                <w:szCs w:val="22"/>
                <w:lang w:val="pl-PL"/>
              </w:rPr>
              <w:t>kulturotechniki</w:t>
            </w:r>
            <w:proofErr w:type="spellEnd"/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 xml:space="preserve">; metody twórczej resocjalizacji w placówkach: teatru resocjalizacyjnego, resocjalizacji przez sport, muzykoterapii, </w:t>
            </w:r>
            <w:proofErr w:type="spellStart"/>
            <w:r w:rsidRPr="008D5C0D">
              <w:rPr>
                <w:rStyle w:val="spellingerror"/>
                <w:rFonts w:ascii="Arial" w:hAnsi="Arial" w:cs="Arial"/>
                <w:sz w:val="22"/>
                <w:szCs w:val="22"/>
                <w:lang w:val="pl-PL"/>
              </w:rPr>
              <w:t>plastykoterapii</w:t>
            </w:r>
            <w:proofErr w:type="spellEnd"/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 xml:space="preserve"> i dramy; metody wspierające proces readaptacji i reintegracji społecznej; metodykę pracy wychowawcy w specjalnych ośrodkach szkolno-wychowawczych, młodzieżowych ośrodkach wychowawczych, młodzieżowych ośrodkach socjoterapii, schroniskach dla nieletnich i zakładach poprawczych; podstawy metodyczne pracy wychowawcy w aresztach śledczych i zakładach karnych; przyczyny stresu i wypalenia zawodowego pedagogów resocjalizacyjnych</w:t>
            </w:r>
          </w:p>
        </w:tc>
      </w:tr>
      <w:tr w:rsidR="00060959" w:rsidRPr="00345883" w:rsidTr="008D5C0D">
        <w:trPr>
          <w:trHeight w:val="331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W07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metodykę oddziaływań resocjalizacyjnych w środowisku otwartym; teoretyczne podstawy środowiskowych oddziaływań metodycznych; zasady współpracy wychowawców ze środowiskiem otwartym; metody pracy nauczyciela, wychowawcy i pedagoga szkolnego, realizujących zadania resocjalizacyjne, kuratora sądowego, w ośrodkach kuratorskich; metody twórczej resocjalizacji w środowisku otwartym: teatr resocjalizacyjny, resocjalizację przez sport, muzykoterapię, </w:t>
            </w:r>
            <w:proofErr w:type="spellStart"/>
            <w:r w:rsidRPr="00060959">
              <w:rPr>
                <w:rStyle w:val="spellingerror"/>
                <w:rFonts w:ascii="Arial" w:hAnsi="Arial" w:cs="Arial"/>
                <w:color w:val="000000"/>
                <w:shd w:val="clear" w:color="auto" w:fill="FFFFFF"/>
                <w:lang w:val="pl-PL"/>
              </w:rPr>
              <w:t>plastykoterapię</w:t>
            </w:r>
            <w:proofErr w:type="spellEnd"/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 i dramę, zagadnienie </w:t>
            </w:r>
            <w:proofErr w:type="spellStart"/>
            <w:r w:rsidRPr="00060959">
              <w:rPr>
                <w:rStyle w:val="spellingerror"/>
                <w:rFonts w:ascii="Arial" w:hAnsi="Arial" w:cs="Arial"/>
                <w:color w:val="000000"/>
                <w:shd w:val="clear" w:color="auto" w:fill="FFFFFF"/>
                <w:lang w:val="pl-PL"/>
              </w:rPr>
              <w:t>superwizji</w:t>
            </w:r>
            <w:proofErr w:type="spellEnd"/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 w resocjalizacji; metody pracy resocjalizacyjnej w środowisku lokalnym i placówkach wsparcia dziennego streetworkerów i pedagogów podwórkowych</w:t>
            </w:r>
          </w:p>
        </w:tc>
      </w:tr>
      <w:tr w:rsidR="00060959" w:rsidRPr="00345883" w:rsidTr="008D5C0D">
        <w:trPr>
          <w:trHeight w:val="331"/>
        </w:trPr>
        <w:tc>
          <w:tcPr>
            <w:tcW w:w="618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382" w:type="pct"/>
          </w:tcPr>
          <w:p w:rsidR="00060959" w:rsidRPr="00060959" w:rsidRDefault="00060959" w:rsidP="008D5C0D">
            <w:pPr>
              <w:jc w:val="center"/>
              <w:rPr>
                <w:rStyle w:val="normaltextrun"/>
                <w:rFonts w:ascii="Arial" w:hAnsi="Arial" w:cs="Arial"/>
                <w:b/>
                <w:color w:val="000000"/>
                <w:shd w:val="clear" w:color="auto" w:fill="FFFFFF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b/>
                <w:color w:val="000000"/>
                <w:shd w:val="clear" w:color="auto" w:fill="FFFFFF"/>
                <w:lang w:val="pl-PL"/>
              </w:rPr>
              <w:t>W zakresie praktyk zawodowych student zna i rozumie:</w:t>
            </w:r>
          </w:p>
        </w:tc>
      </w:tr>
      <w:tr w:rsidR="00060959" w:rsidRPr="00345883" w:rsidTr="008D5C0D">
        <w:trPr>
          <w:trHeight w:val="331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W08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spacing w:after="0" w:line="240" w:lineRule="auto"/>
              <w:textAlignment w:val="baseline"/>
              <w:rPr>
                <w:rStyle w:val="normaltextrun"/>
                <w:rFonts w:ascii="Arial" w:eastAsia="Times New Roman" w:hAnsi="Arial" w:cs="Arial"/>
                <w:lang w:val="pl-PL"/>
              </w:rPr>
            </w:pPr>
            <w:r w:rsidRPr="00060959">
              <w:rPr>
                <w:rFonts w:ascii="Arial" w:eastAsia="Times New Roman" w:hAnsi="Arial" w:cs="Arial"/>
                <w:lang w:val="pl-PL"/>
              </w:rPr>
              <w:t>zadania charakterystyczne dla szkoły, placówki systemu oświaty oraz środowisko, w jakim one działają</w:t>
            </w:r>
          </w:p>
        </w:tc>
      </w:tr>
      <w:tr w:rsidR="00060959" w:rsidRPr="00345883" w:rsidTr="008D5C0D">
        <w:trPr>
          <w:trHeight w:val="331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W09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</w:pPr>
            <w:r w:rsidRPr="00060959">
              <w:rPr>
                <w:rFonts w:ascii="Arial" w:eastAsia="Times New Roman" w:hAnsi="Arial" w:cs="Arial"/>
                <w:lang w:val="pl-PL"/>
              </w:rPr>
              <w:t>organizację, statut i plan pracy szkoły oraz program wychowawczo-profilaktyczny</w:t>
            </w:r>
          </w:p>
        </w:tc>
      </w:tr>
      <w:tr w:rsidR="00060959" w:rsidRPr="00345883" w:rsidTr="008D5C0D">
        <w:trPr>
          <w:trHeight w:val="331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W10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</w:pPr>
            <w:r w:rsidRPr="00060959">
              <w:rPr>
                <w:rFonts w:ascii="Arial" w:eastAsia="Times New Roman" w:hAnsi="Arial" w:cs="Arial"/>
                <w:lang w:val="pl-PL"/>
              </w:rPr>
              <w:t>zasady zapewniania bezpieczeństwa uczniom, wychowankom w szkole, placówce systemu oświaty i poza nimi</w:t>
            </w:r>
          </w:p>
        </w:tc>
      </w:tr>
      <w:tr w:rsidR="00060959" w:rsidTr="008D5C0D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060959" w:rsidRDefault="00060959" w:rsidP="008D5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060959" w:rsidRPr="00345883" w:rsidTr="008D5C0D">
        <w:trPr>
          <w:trHeight w:val="591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</w:p>
        </w:tc>
        <w:tc>
          <w:tcPr>
            <w:tcW w:w="4382" w:type="pct"/>
          </w:tcPr>
          <w:p w:rsidR="00060959" w:rsidRPr="00060959" w:rsidRDefault="00060959" w:rsidP="008D5C0D">
            <w:pPr>
              <w:jc w:val="center"/>
              <w:rPr>
                <w:rStyle w:val="normaltextrun"/>
                <w:rFonts w:ascii="Arial" w:hAnsi="Arial" w:cs="Arial"/>
                <w:b/>
                <w:color w:val="000000"/>
                <w:shd w:val="clear" w:color="auto" w:fill="FFFFFF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b/>
                <w:color w:val="000000"/>
                <w:shd w:val="clear" w:color="auto" w:fill="FFFFFF"/>
                <w:lang w:val="pl-PL"/>
              </w:rPr>
              <w:t>W zakresie umiejętności merytorycznych student potrafi:</w:t>
            </w:r>
          </w:p>
        </w:tc>
      </w:tr>
      <w:tr w:rsidR="00060959" w:rsidRPr="00345883" w:rsidTr="008D5C0D">
        <w:trPr>
          <w:trHeight w:val="591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U01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analizować pedagogikę resocjalizacyjną; przedstawiać rys historyczny pedagogiki resocjalizacyjnej; opisywać polskie szkoły pedagogiki resocjalizacyjnej, w tym wymieniać ich twórców oraz ich dzieła; analizować proces socjalizacji w teorii i praktyce, określać dylematy socjalizacyjne oraz nieprzystosowanie społeczne, analizować koncepcje, teorie, definicje; charakteryzować pojęcia resocjalizacji- -readaptacji-reintegracji, stosować definicje, pojęcia i zakresy; analizować i wykorzystywać współczesne koncepcje i teorie resocjalizacyjne; projektować działania od izolacji do środowiska otwartego; prezentować koncepcję twórczej resocjalizacji jako przykładu odziaływań </w:t>
            </w:r>
            <w:proofErr w:type="spellStart"/>
            <w:r w:rsidRPr="00060959">
              <w:rPr>
                <w:rStyle w:val="spellingerror"/>
                <w:rFonts w:ascii="Arial" w:hAnsi="Arial" w:cs="Arial"/>
                <w:color w:val="000000"/>
                <w:shd w:val="clear" w:color="auto" w:fill="FFFFFF"/>
                <w:lang w:val="pl-PL"/>
              </w:rPr>
              <w:t>destygmatyzujących</w:t>
            </w:r>
            <w:proofErr w:type="spellEnd"/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>; stosować podstawy teoretyczne metodyki pracy resocjalizacyjnej</w:t>
            </w:r>
          </w:p>
        </w:tc>
      </w:tr>
      <w:tr w:rsidR="00060959" w:rsidRPr="00345883" w:rsidTr="008D5C0D">
        <w:trPr>
          <w:trHeight w:val="528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U02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  <w:lang w:val="pl-PL"/>
              </w:rPr>
              <w:t>analizować i stosować diagnozę psychopedagogiczną w resocjalizacji; analizować diagnozę deficytów i potencjałów; prezentować i analizować modele diagnostyczne; stosować diagnozę źródeł nieprzystosowania społecznego; analizować i stosować diagnozę osób zagrożonych i nieprzystosowanych społecznie; analizować i interpretować diagnozę kryminologiczną</w:t>
            </w:r>
          </w:p>
        </w:tc>
      </w:tr>
      <w:tr w:rsidR="00060959" w:rsidRPr="00345883" w:rsidTr="008D5C0D">
        <w:trPr>
          <w:trHeight w:val="528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U03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  <w:lang w:val="pl-PL"/>
              </w:rPr>
              <w:t>analizować dewiacje społeczne w perspektywie pedagogiki resocjalizacyjnej; interpretować koncepcje i teorie dewiacji społecznych; określać współczesne tendencje rozwoju dewiacji społecznych, przyczyny niedostosowania społecznego i skutki dewiacji społecznych, a także stosować profilaktykę i zapobieganie dewiacjom społecznym</w:t>
            </w:r>
          </w:p>
        </w:tc>
      </w:tr>
      <w:tr w:rsidR="00060959" w:rsidRPr="00345883" w:rsidTr="008D5C0D">
        <w:trPr>
          <w:trHeight w:val="528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U04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>analizować edukację w perspektywie pedagogiki resocjalizacyjnej; charakteryzować rolę szkoły jako środowiska społeczno-wychowawczego oraz środowisko inkluzji społecznej; analizować rolę i zadania nauczycieli, wychowawców, pedagoga szkolnego i pedagoga resocjalizacyjnego, funkcje wychowawcze szkoły; analizować i intepretować problemy wychowawcze we współczesnej szkole i środowisku szkolnym; określać specyfikę procesu nauczania i pracy szkolnej w instytucjach, placówkach systemu oświaty i ośrodkach o charakterze resocjalizacyjno-wychowawczym</w:t>
            </w:r>
          </w:p>
        </w:tc>
      </w:tr>
      <w:tr w:rsidR="00060959" w:rsidRPr="00345883" w:rsidTr="008D5C0D">
        <w:trPr>
          <w:trHeight w:val="528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U05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  <w:lang w:val="pl-PL"/>
              </w:rPr>
              <w:t>analizować prawno-społeczne uwarunkowania procesu resocjalizacji w pracy pedagoga; prezentować instytucje oddziaływań profilaktyczno-resocjalizacyjnych w środowisku otwartym i zamkniętym oraz główne organizacje pozarządowe uczestniczące w procesie resocjalizacji; wykorzystywać podstawy kryminologii z elementami wiktymologii; realizować pomoc rodzinie i poradnictwo wychowawczo-resocjalizacyjne</w:t>
            </w:r>
          </w:p>
        </w:tc>
      </w:tr>
      <w:tr w:rsidR="00060959" w:rsidRPr="00345883" w:rsidTr="008D5C0D">
        <w:trPr>
          <w:trHeight w:val="528"/>
        </w:trPr>
        <w:tc>
          <w:tcPr>
            <w:tcW w:w="618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382" w:type="pct"/>
          </w:tcPr>
          <w:p w:rsidR="00060959" w:rsidRPr="00060959" w:rsidRDefault="00060959" w:rsidP="008D5C0D">
            <w:pPr>
              <w:jc w:val="center"/>
              <w:rPr>
                <w:rStyle w:val="normaltextrun"/>
                <w:rFonts w:ascii="Arial" w:hAnsi="Arial" w:cs="Arial"/>
                <w:b/>
                <w:color w:val="000000"/>
                <w:bdr w:val="none" w:sz="0" w:space="0" w:color="auto" w:frame="1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b/>
                <w:color w:val="000000"/>
                <w:shd w:val="clear" w:color="auto" w:fill="FFFFFF"/>
                <w:lang w:val="pl-PL"/>
              </w:rPr>
              <w:t>W zakresie przygotowania dydaktyczno-metodycznego student potrafi:</w:t>
            </w:r>
          </w:p>
        </w:tc>
      </w:tr>
      <w:tr w:rsidR="00060959" w:rsidRPr="00345883" w:rsidTr="008D5C0D">
        <w:trPr>
          <w:trHeight w:val="528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lastRenderedPageBreak/>
              <w:t>U06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analizować metodykę oddziaływań w placówkach resocjalizacyjnych; analizować i stosować teoretyczne podstawy instytucjonalnych oddziaływań metodycznych; analizować i stosować socjotechniki, psychotechniki, antropotechniki i </w:t>
            </w:r>
            <w:proofErr w:type="spellStart"/>
            <w:r w:rsidRPr="00060959">
              <w:rPr>
                <w:rStyle w:val="spellingerror"/>
                <w:rFonts w:ascii="Arial" w:hAnsi="Arial" w:cs="Arial"/>
                <w:color w:val="000000"/>
                <w:shd w:val="clear" w:color="auto" w:fill="FFFFFF"/>
                <w:lang w:val="pl-PL"/>
              </w:rPr>
              <w:t>kulturotechniki</w:t>
            </w:r>
            <w:proofErr w:type="spellEnd"/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; analizować i stosować metody twórczej resocjalizacji w placówkach: teatr resocjalizacyjny, resocjalizację przez sport, muzykoterapię, </w:t>
            </w:r>
            <w:proofErr w:type="spellStart"/>
            <w:r w:rsidRPr="00060959">
              <w:rPr>
                <w:rStyle w:val="spellingerror"/>
                <w:rFonts w:ascii="Arial" w:hAnsi="Arial" w:cs="Arial"/>
                <w:color w:val="000000"/>
                <w:shd w:val="clear" w:color="auto" w:fill="FFFFFF"/>
                <w:lang w:val="pl-PL"/>
              </w:rPr>
              <w:t>plastykoterapię</w:t>
            </w:r>
            <w:proofErr w:type="spellEnd"/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 i dramę; analizować i stosować metody wspierające proces readaptacji i reintegracji społecznej; stosować metodykę pracy wychowawcy w specjalnych ośrodkach szkolno- -wychowawczych, młodzieżowych ośrodkach wychowawczych, młodzieżowych ośrodkach socjoterapii, schroniskach dla nieletnich i zakładach poprawczych; analizować i stosować podstawy metodyczne pracy wychowawcy w aresztach śledczych i zakładach karnych; określać przyczyny stresu i wypalenia zawodowego pedagogów resocjalizacyjnych</w:t>
            </w:r>
          </w:p>
        </w:tc>
      </w:tr>
      <w:tr w:rsidR="00060959" w:rsidRPr="00345883" w:rsidTr="008D5C0D">
        <w:trPr>
          <w:trHeight w:val="528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U07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analizować i stosować metodykę oddziaływań resocjalizacyjnych w środowisku otwartym, teoretyczne podstawy środowiskowych oddziaływań metodycznych; planować i realizować współpracę wychowawców ze środowiskiem otwartym; analizować i stosować metody pracy nauczyciela, wychowawcy i pedagoga szkolnego, realizujących zadania resocjalizacyjne, kuratora sądowego, metody pracy w ośrodkach kuratorskich; analizować i stosować metody twórczej resocjalizacji w środowisku otwartym: teatr resocjalizacyjny, resocjalizację przez sport, muzykoterapię, </w:t>
            </w:r>
            <w:proofErr w:type="spellStart"/>
            <w:r w:rsidRPr="00060959">
              <w:rPr>
                <w:rStyle w:val="spellingerror"/>
                <w:rFonts w:ascii="Arial" w:hAnsi="Arial" w:cs="Arial"/>
                <w:color w:val="000000"/>
                <w:shd w:val="clear" w:color="auto" w:fill="FFFFFF"/>
                <w:lang w:val="pl-PL"/>
              </w:rPr>
              <w:t>plastykoterapię</w:t>
            </w:r>
            <w:proofErr w:type="spellEnd"/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 i dramę; analizować i stosować </w:t>
            </w:r>
            <w:proofErr w:type="spellStart"/>
            <w:r w:rsidRPr="00060959">
              <w:rPr>
                <w:rStyle w:val="spellingerror"/>
                <w:rFonts w:ascii="Arial" w:hAnsi="Arial" w:cs="Arial"/>
                <w:color w:val="000000"/>
                <w:shd w:val="clear" w:color="auto" w:fill="FFFFFF"/>
                <w:lang w:val="pl-PL"/>
              </w:rPr>
              <w:t>superwizję</w:t>
            </w:r>
            <w:proofErr w:type="spellEnd"/>
            <w:r w:rsidRPr="00060959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  <w:t xml:space="preserve"> w resocjalizacji; analizować i stosować metody pracy resocjalizacyjnej w środowisku lokalnym i placówkach wsparcia dziennego streetworkerów i pedagogów podwórkowych</w:t>
            </w:r>
          </w:p>
        </w:tc>
      </w:tr>
      <w:tr w:rsidR="00060959" w:rsidRPr="00345883" w:rsidTr="008D5C0D">
        <w:trPr>
          <w:trHeight w:val="528"/>
        </w:trPr>
        <w:tc>
          <w:tcPr>
            <w:tcW w:w="618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382" w:type="pct"/>
          </w:tcPr>
          <w:p w:rsidR="00060959" w:rsidRPr="00060959" w:rsidRDefault="00060959" w:rsidP="008D5C0D">
            <w:pPr>
              <w:jc w:val="center"/>
              <w:rPr>
                <w:rStyle w:val="normaltextrun"/>
                <w:rFonts w:ascii="Arial" w:hAnsi="Arial" w:cs="Arial"/>
                <w:b/>
                <w:color w:val="000000"/>
                <w:shd w:val="clear" w:color="auto" w:fill="FFFFFF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b/>
                <w:color w:val="000000"/>
                <w:shd w:val="clear" w:color="auto" w:fill="FFFFFF"/>
                <w:lang w:val="pl-PL"/>
              </w:rPr>
              <w:t>W zakresie praktyk zawodowych student potrafi:</w:t>
            </w:r>
          </w:p>
        </w:tc>
      </w:tr>
      <w:tr w:rsidR="00060959" w:rsidTr="008D5C0D">
        <w:trPr>
          <w:trHeight w:val="528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U08</w:t>
            </w:r>
          </w:p>
        </w:tc>
        <w:tc>
          <w:tcPr>
            <w:tcW w:w="4382" w:type="pct"/>
          </w:tcPr>
          <w:p w:rsidR="00060959" w:rsidRPr="008D5C0D" w:rsidRDefault="00060959" w:rsidP="008D5C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pl-PL"/>
              </w:rPr>
            </w:pPr>
            <w:r w:rsidRPr="00060959">
              <w:rPr>
                <w:rFonts w:ascii="Arial" w:eastAsia="Times New Roman" w:hAnsi="Arial" w:cs="Arial"/>
                <w:lang w:val="pl-PL"/>
              </w:rPr>
              <w:t>wyciągać wnioski z obserwacji pracy nauczycieli lub terapeutów, ich interakcji</w:t>
            </w:r>
            <w:r w:rsidRPr="008D5C0D">
              <w:rPr>
                <w:rFonts w:ascii="Arial" w:eastAsia="Times New Roman" w:hAnsi="Arial" w:cs="Arial"/>
                <w:lang w:val="pl-PL"/>
              </w:rPr>
              <w:t> </w:t>
            </w:r>
          </w:p>
          <w:p w:rsidR="00060959" w:rsidRPr="008D5C0D" w:rsidRDefault="00060959" w:rsidP="008D5C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pl-PL"/>
              </w:rPr>
            </w:pPr>
            <w:r w:rsidRPr="00060959">
              <w:rPr>
                <w:rFonts w:ascii="Arial" w:eastAsia="Times New Roman" w:hAnsi="Arial" w:cs="Arial"/>
                <w:lang w:val="pl-PL"/>
              </w:rPr>
              <w:t>z uczniami lub wychowankami oraz sposobu, w jaki planują i przeprowadzają zajęcia</w:t>
            </w:r>
            <w:r w:rsidRPr="008D5C0D">
              <w:rPr>
                <w:rFonts w:ascii="Arial" w:eastAsia="Times New Roman" w:hAnsi="Arial" w:cs="Arial"/>
                <w:lang w:val="pl-PL"/>
              </w:rPr>
              <w:t> </w:t>
            </w:r>
          </w:p>
          <w:p w:rsidR="00060959" w:rsidRPr="008D5C0D" w:rsidRDefault="00060959" w:rsidP="008D5C0D">
            <w:pPr>
              <w:spacing w:after="0" w:line="240" w:lineRule="auto"/>
              <w:textAlignment w:val="baseline"/>
              <w:rPr>
                <w:rStyle w:val="normaltextrun"/>
                <w:rFonts w:ascii="Arial" w:eastAsia="Times New Roman" w:hAnsi="Arial" w:cs="Arial"/>
              </w:rPr>
            </w:pPr>
            <w:proofErr w:type="spellStart"/>
            <w:r w:rsidRPr="008D5C0D">
              <w:rPr>
                <w:rFonts w:ascii="Arial" w:eastAsia="Times New Roman" w:hAnsi="Arial" w:cs="Arial"/>
              </w:rPr>
              <w:t>dydaktyczne</w:t>
            </w:r>
            <w:proofErr w:type="spellEnd"/>
            <w:r w:rsidRPr="008D5C0D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D5C0D">
              <w:rPr>
                <w:rFonts w:ascii="Arial" w:eastAsia="Times New Roman" w:hAnsi="Arial" w:cs="Arial"/>
              </w:rPr>
              <w:t>wychowawcze</w:t>
            </w:r>
            <w:proofErr w:type="spellEnd"/>
            <w:r w:rsidRPr="008D5C0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D5C0D">
              <w:rPr>
                <w:rFonts w:ascii="Arial" w:eastAsia="Times New Roman" w:hAnsi="Arial" w:cs="Arial"/>
              </w:rPr>
              <w:t>lub</w:t>
            </w:r>
            <w:proofErr w:type="spellEnd"/>
            <w:r w:rsidRPr="008D5C0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D5C0D">
              <w:rPr>
                <w:rFonts w:ascii="Arial" w:eastAsia="Times New Roman" w:hAnsi="Arial" w:cs="Arial"/>
              </w:rPr>
              <w:t>opiekuńcze</w:t>
            </w:r>
            <w:proofErr w:type="spellEnd"/>
          </w:p>
        </w:tc>
      </w:tr>
      <w:tr w:rsidR="00060959" w:rsidRPr="00345883" w:rsidTr="008D5C0D">
        <w:trPr>
          <w:trHeight w:val="528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U09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</w:pPr>
            <w:r w:rsidRPr="00060959">
              <w:rPr>
                <w:rFonts w:ascii="Arial" w:eastAsia="Times New Roman" w:hAnsi="Arial" w:cs="Arial"/>
                <w:lang w:val="pl-PL"/>
              </w:rPr>
              <w:t>wyciągać wnioski z obserwacji sposobu integracji działań opiekuńczo-wychowawczych i dydaktycznych przez nauczycieli lub specjalistów</w:t>
            </w:r>
          </w:p>
        </w:tc>
      </w:tr>
      <w:tr w:rsidR="00060959" w:rsidRPr="00345883" w:rsidTr="008D5C0D">
        <w:trPr>
          <w:trHeight w:val="528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U010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pl-PL"/>
              </w:rPr>
            </w:pPr>
            <w:r w:rsidRPr="00060959">
              <w:rPr>
                <w:rFonts w:ascii="Arial" w:eastAsia="Times New Roman" w:hAnsi="Arial" w:cs="Arial"/>
                <w:lang w:val="pl-PL"/>
              </w:rPr>
              <w:t>zaplanować i przeprowadzić zajęcia pod nadzorem opiekuna praktyk zawodowych</w:t>
            </w:r>
          </w:p>
        </w:tc>
      </w:tr>
      <w:tr w:rsidR="00060959" w:rsidRPr="00345883" w:rsidTr="008D5C0D">
        <w:trPr>
          <w:trHeight w:val="528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U011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pl-PL"/>
              </w:rPr>
            </w:pPr>
            <w:r w:rsidRPr="00060959">
              <w:rPr>
                <w:rFonts w:ascii="Arial" w:eastAsia="Times New Roman" w:hAnsi="Arial" w:cs="Arial"/>
                <w:lang w:val="pl-PL"/>
              </w:rPr>
              <w:t>analizować, przy pomocy opiekuna praktyk zawodowych oraz nauczycieli akademickich prowadzących zajęcia w zakresie przygotowania psychologiczno-pedagogicznego, sytuacje i zdarzenia pedagogiczne zaobserwowane lub doświadczone w czasie praktyk</w:t>
            </w:r>
          </w:p>
        </w:tc>
      </w:tr>
      <w:tr w:rsidR="00060959" w:rsidTr="008D5C0D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060959" w:rsidRDefault="00060959" w:rsidP="008D5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060959" w:rsidRPr="00345883" w:rsidTr="008D5C0D">
        <w:trPr>
          <w:trHeight w:val="407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Fonts w:ascii="Arial" w:hAnsi="Arial" w:cs="Arial"/>
                <w:b/>
                <w:lang w:val="pl-PL"/>
              </w:rPr>
            </w:pPr>
            <w:r w:rsidRPr="00060959">
              <w:rPr>
                <w:rFonts w:ascii="Arial" w:hAnsi="Arial" w:cs="Arial"/>
                <w:b/>
                <w:lang w:val="pl-PL"/>
              </w:rPr>
              <w:t>W zakresie przygotowania merytorycznego student gotów jest do:</w:t>
            </w:r>
          </w:p>
        </w:tc>
      </w:tr>
      <w:tr w:rsidR="00060959" w:rsidTr="008D5C0D">
        <w:trPr>
          <w:trHeight w:val="407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K01</w:t>
            </w:r>
          </w:p>
        </w:tc>
        <w:tc>
          <w:tcPr>
            <w:tcW w:w="4382" w:type="pct"/>
          </w:tcPr>
          <w:p w:rsidR="00060959" w:rsidRPr="008D5C0D" w:rsidRDefault="00060959" w:rsidP="008D5C0D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>autorefleksji nad rozwojem zawodowym</w:t>
            </w:r>
          </w:p>
        </w:tc>
      </w:tr>
      <w:tr w:rsidR="00060959" w:rsidRPr="00345883" w:rsidTr="008D5C0D">
        <w:trPr>
          <w:trHeight w:val="70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K02</w:t>
            </w:r>
          </w:p>
        </w:tc>
        <w:tc>
          <w:tcPr>
            <w:tcW w:w="4382" w:type="pct"/>
          </w:tcPr>
          <w:p w:rsidR="00060959" w:rsidRPr="008D5C0D" w:rsidRDefault="00060959" w:rsidP="008D5C0D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>wykorzystania zdobytej wiedzy do analizy zdarzeń pedagogicznych</w:t>
            </w:r>
          </w:p>
        </w:tc>
      </w:tr>
      <w:tr w:rsidR="00060959" w:rsidRPr="00345883" w:rsidTr="008D5C0D">
        <w:trPr>
          <w:trHeight w:val="70"/>
        </w:trPr>
        <w:tc>
          <w:tcPr>
            <w:tcW w:w="618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382" w:type="pct"/>
          </w:tcPr>
          <w:p w:rsidR="00060959" w:rsidRPr="00060959" w:rsidRDefault="00060959" w:rsidP="008D5C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60959">
              <w:rPr>
                <w:rFonts w:ascii="Arial" w:hAnsi="Arial" w:cs="Arial"/>
                <w:b/>
                <w:sz w:val="20"/>
                <w:szCs w:val="20"/>
                <w:lang w:val="pl-PL"/>
              </w:rPr>
              <w:t>W zakresie przygotowania dydaktyczno-metodycznego student jest gotów do:</w:t>
            </w:r>
          </w:p>
        </w:tc>
      </w:tr>
      <w:tr w:rsidR="00060959" w:rsidRPr="00345883" w:rsidTr="008D5C0D">
        <w:trPr>
          <w:trHeight w:val="70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K03</w:t>
            </w:r>
          </w:p>
        </w:tc>
        <w:tc>
          <w:tcPr>
            <w:tcW w:w="4382" w:type="pct"/>
          </w:tcPr>
          <w:p w:rsidR="00060959" w:rsidRPr="008D5C0D" w:rsidRDefault="00060959" w:rsidP="008D5C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5C0D">
              <w:rPr>
                <w:rStyle w:val="normaltextrun"/>
                <w:rFonts w:ascii="Arial" w:hAnsi="Arial" w:cs="Arial"/>
                <w:sz w:val="22"/>
                <w:szCs w:val="22"/>
                <w:lang w:val="pl-PL"/>
              </w:rPr>
              <w:t>okazywania empatii uczniom lub wychowankom potrzebującym wsparcia i pomocy</w:t>
            </w:r>
          </w:p>
          <w:p w:rsidR="00060959" w:rsidRPr="008D5C0D" w:rsidRDefault="00060959" w:rsidP="008D5C0D">
            <w:pPr>
              <w:pStyle w:val="paragraph"/>
              <w:spacing w:after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60959" w:rsidRPr="00345883" w:rsidTr="008D5C0D">
        <w:trPr>
          <w:trHeight w:val="70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lastRenderedPageBreak/>
              <w:t>K04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lang w:val="pl-PL"/>
              </w:rPr>
              <w:t>profesjonalnego rozwiązywania konfliktów w klasie szkolnej lub grupie wychowawczej</w:t>
            </w:r>
          </w:p>
        </w:tc>
      </w:tr>
      <w:tr w:rsidR="00060959" w:rsidTr="008D5C0D">
        <w:trPr>
          <w:trHeight w:val="70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K05</w:t>
            </w:r>
          </w:p>
        </w:tc>
        <w:tc>
          <w:tcPr>
            <w:tcW w:w="4382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proofErr w:type="spellStart"/>
            <w:r w:rsidRPr="008D5C0D">
              <w:rPr>
                <w:rStyle w:val="normaltextrun"/>
                <w:rFonts w:ascii="Arial" w:hAnsi="Arial" w:cs="Arial"/>
              </w:rPr>
              <w:t>samodzielnego</w:t>
            </w:r>
            <w:proofErr w:type="spellEnd"/>
            <w:r w:rsidRPr="008D5C0D">
              <w:rPr>
                <w:rStyle w:val="normaltextrun"/>
                <w:rFonts w:ascii="Arial" w:hAnsi="Arial" w:cs="Arial"/>
              </w:rPr>
              <w:t xml:space="preserve"> </w:t>
            </w:r>
            <w:proofErr w:type="spellStart"/>
            <w:r w:rsidRPr="008D5C0D">
              <w:rPr>
                <w:rStyle w:val="normaltextrun"/>
                <w:rFonts w:ascii="Arial" w:hAnsi="Arial" w:cs="Arial"/>
              </w:rPr>
              <w:t>pogłębiania</w:t>
            </w:r>
            <w:proofErr w:type="spellEnd"/>
            <w:r w:rsidRPr="008D5C0D">
              <w:rPr>
                <w:rStyle w:val="normaltextrun"/>
                <w:rFonts w:ascii="Arial" w:hAnsi="Arial" w:cs="Arial"/>
              </w:rPr>
              <w:t xml:space="preserve"> </w:t>
            </w:r>
            <w:proofErr w:type="spellStart"/>
            <w:r w:rsidRPr="008D5C0D">
              <w:rPr>
                <w:rStyle w:val="normaltextrun"/>
                <w:rFonts w:ascii="Arial" w:hAnsi="Arial" w:cs="Arial"/>
              </w:rPr>
              <w:t>wiedzy</w:t>
            </w:r>
            <w:proofErr w:type="spellEnd"/>
            <w:r w:rsidRPr="008D5C0D">
              <w:rPr>
                <w:rStyle w:val="normaltextrun"/>
                <w:rFonts w:ascii="Arial" w:hAnsi="Arial" w:cs="Arial"/>
              </w:rPr>
              <w:t xml:space="preserve"> </w:t>
            </w:r>
            <w:proofErr w:type="spellStart"/>
            <w:r w:rsidRPr="008D5C0D">
              <w:rPr>
                <w:rStyle w:val="normaltextrun"/>
                <w:rFonts w:ascii="Arial" w:hAnsi="Arial" w:cs="Arial"/>
              </w:rPr>
              <w:t>pedagogicznej</w:t>
            </w:r>
            <w:proofErr w:type="spellEnd"/>
          </w:p>
        </w:tc>
      </w:tr>
      <w:tr w:rsidR="00060959" w:rsidRPr="00345883" w:rsidTr="008D5C0D">
        <w:trPr>
          <w:trHeight w:val="70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K06</w:t>
            </w:r>
          </w:p>
        </w:tc>
        <w:tc>
          <w:tcPr>
            <w:tcW w:w="4382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lang w:val="pl-PL"/>
              </w:rPr>
              <w:t>współpracy z nauczycielami lub terapeutami w celu doskonalenia swojego warsztatu pracy</w:t>
            </w:r>
          </w:p>
        </w:tc>
      </w:tr>
      <w:tr w:rsidR="00060959" w:rsidRPr="00345883" w:rsidTr="008D5C0D">
        <w:trPr>
          <w:trHeight w:val="70"/>
        </w:trPr>
        <w:tc>
          <w:tcPr>
            <w:tcW w:w="618" w:type="pct"/>
          </w:tcPr>
          <w:p w:rsidR="00060959" w:rsidRPr="00060959" w:rsidRDefault="00060959" w:rsidP="008D5C0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382" w:type="pct"/>
          </w:tcPr>
          <w:p w:rsidR="00060959" w:rsidRPr="00060959" w:rsidRDefault="00060959" w:rsidP="008D5C0D">
            <w:pPr>
              <w:jc w:val="center"/>
              <w:rPr>
                <w:rStyle w:val="normaltextrun"/>
                <w:rFonts w:ascii="Arial" w:hAnsi="Arial" w:cs="Arial"/>
                <w:b/>
                <w:lang w:val="pl-PL"/>
              </w:rPr>
            </w:pPr>
            <w:r w:rsidRPr="00060959">
              <w:rPr>
                <w:rStyle w:val="normaltextrun"/>
                <w:rFonts w:ascii="Arial" w:hAnsi="Arial" w:cs="Arial"/>
                <w:b/>
                <w:lang w:val="pl-PL"/>
              </w:rPr>
              <w:t>W zakresie praktyk zawodowych student jest gotów:</w:t>
            </w:r>
          </w:p>
        </w:tc>
      </w:tr>
      <w:tr w:rsidR="00060959" w:rsidRPr="00345883" w:rsidTr="008D5C0D">
        <w:trPr>
          <w:trHeight w:val="70"/>
        </w:trPr>
        <w:tc>
          <w:tcPr>
            <w:tcW w:w="618" w:type="pct"/>
          </w:tcPr>
          <w:p w:rsidR="00060959" w:rsidRPr="008D5C0D" w:rsidRDefault="00060959" w:rsidP="008D5C0D">
            <w:pPr>
              <w:rPr>
                <w:rFonts w:ascii="Arial" w:hAnsi="Arial" w:cs="Arial"/>
              </w:rPr>
            </w:pPr>
            <w:r w:rsidRPr="008D5C0D">
              <w:rPr>
                <w:rFonts w:ascii="Arial" w:hAnsi="Arial" w:cs="Arial"/>
              </w:rPr>
              <w:t>K07</w:t>
            </w:r>
          </w:p>
        </w:tc>
        <w:tc>
          <w:tcPr>
            <w:tcW w:w="4382" w:type="pct"/>
          </w:tcPr>
          <w:p w:rsidR="00060959" w:rsidRPr="008D5C0D" w:rsidRDefault="00060959" w:rsidP="008D5C0D">
            <w:pPr>
              <w:spacing w:after="0" w:line="240" w:lineRule="auto"/>
              <w:textAlignment w:val="baseline"/>
              <w:rPr>
                <w:rStyle w:val="normaltextrun"/>
                <w:rFonts w:ascii="Arial" w:eastAsia="Times New Roman" w:hAnsi="Arial" w:cs="Arial"/>
                <w:lang w:val="pl-PL"/>
              </w:rPr>
            </w:pPr>
            <w:r w:rsidRPr="00060959">
              <w:rPr>
                <w:rFonts w:ascii="Arial" w:eastAsia="Times New Roman" w:hAnsi="Arial" w:cs="Arial"/>
                <w:lang w:val="pl-PL"/>
              </w:rPr>
              <w:t>skutecznego współdziałania z opiekunem praktyk zawodowych oraz z nauczycielami</w:t>
            </w:r>
            <w:r w:rsidRPr="008D5C0D">
              <w:rPr>
                <w:rFonts w:ascii="Arial" w:eastAsia="Times New Roman" w:hAnsi="Arial" w:cs="Arial"/>
                <w:lang w:val="pl-PL"/>
              </w:rPr>
              <w:t> </w:t>
            </w:r>
            <w:r w:rsidRPr="00060959">
              <w:rPr>
                <w:rFonts w:ascii="Arial" w:eastAsia="Times New Roman" w:hAnsi="Arial" w:cs="Arial"/>
                <w:lang w:val="pl-PL"/>
              </w:rPr>
              <w:t>w celu poszerzania swojej wiedzy</w:t>
            </w:r>
          </w:p>
        </w:tc>
      </w:tr>
    </w:tbl>
    <w:p w:rsidR="00060959" w:rsidRDefault="00060959" w:rsidP="00060959">
      <w:pPr>
        <w:pStyle w:val="Stopka"/>
        <w:widowControl w:val="0"/>
        <w:suppressLineNumbers/>
        <w:tabs>
          <w:tab w:val="clear" w:pos="4536"/>
          <w:tab w:val="clear" w:pos="9072"/>
        </w:tabs>
        <w:rPr>
          <w:rFonts w:ascii="Arial" w:hAnsi="Arial" w:cs="Arial"/>
          <w:bCs/>
          <w:szCs w:val="16"/>
        </w:rPr>
      </w:pPr>
    </w:p>
    <w:p w:rsidR="00060959" w:rsidRDefault="00060959" w:rsidP="00060959">
      <w:pPr>
        <w:pStyle w:val="Stopka"/>
        <w:widowControl w:val="0"/>
        <w:suppressLineNumbers/>
        <w:tabs>
          <w:tab w:val="clear" w:pos="4536"/>
          <w:tab w:val="clear" w:pos="9072"/>
        </w:tabs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Formy sprawdzania efektów uczenia się</w:t>
      </w:r>
    </w:p>
    <w:p w:rsidR="00060959" w:rsidRDefault="00060959" w:rsidP="00060959">
      <w:pPr>
        <w:widowControl w:val="0"/>
        <w:suppressLineNumbers/>
        <w:suppressAutoHyphens/>
        <w:spacing w:after="0" w:line="240" w:lineRule="auto"/>
        <w:rPr>
          <w:rFonts w:ascii="Arial" w:eastAsia="Times New Roman" w:hAnsi="Arial" w:cs="Arial"/>
          <w:bCs/>
          <w:color w:val="333366"/>
          <w:sz w:val="16"/>
          <w:szCs w:val="16"/>
          <w:lang w:eastAsia="ar-SA"/>
        </w:rPr>
      </w:pPr>
    </w:p>
    <w:p w:rsidR="00060959" w:rsidRDefault="00060959" w:rsidP="00060959">
      <w:pPr>
        <w:widowControl w:val="0"/>
        <w:suppressLineNumbers/>
        <w:suppressAutoHyphens/>
        <w:spacing w:after="0" w:line="240" w:lineRule="auto"/>
        <w:rPr>
          <w:rFonts w:ascii="Arial" w:eastAsia="Times New Roman" w:hAnsi="Arial" w:cs="Arial"/>
          <w:color w:val="333366"/>
          <w:sz w:val="16"/>
          <w:szCs w:val="16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060959" w:rsidTr="008D5C0D">
        <w:trPr>
          <w:cantSplit/>
          <w:trHeight w:val="1616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dydaktyczne</w:t>
            </w:r>
            <w:proofErr w:type="spellEnd"/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</w:t>
            </w:r>
            <w:proofErr w:type="spellEnd"/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terenowe</w:t>
            </w:r>
            <w:proofErr w:type="spellEnd"/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laboratoryjna</w:t>
            </w:r>
            <w:proofErr w:type="spellEnd"/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indywidualny</w:t>
            </w:r>
            <w:proofErr w:type="spellEnd"/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grupowy</w:t>
            </w:r>
            <w:proofErr w:type="spellEnd"/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dyskusji</w:t>
            </w:r>
            <w:proofErr w:type="spellEnd"/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  <w:proofErr w:type="spellEnd"/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ustny</w:t>
            </w:r>
            <w:proofErr w:type="spellEnd"/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pisemny</w:t>
            </w:r>
            <w:proofErr w:type="spellEnd"/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  <w:proofErr w:type="spellEnd"/>
          </w:p>
        </w:tc>
      </w:tr>
      <w:tr w:rsidR="00060959" w:rsidTr="008D5C0D">
        <w:trPr>
          <w:cantSplit/>
          <w:trHeight w:val="244"/>
        </w:trPr>
        <w:tc>
          <w:tcPr>
            <w:tcW w:w="9540" w:type="dxa"/>
            <w:gridSpan w:val="14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Przygotowanie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merytoryczne</w:t>
            </w:r>
            <w:proofErr w:type="spellEnd"/>
          </w:p>
        </w:tc>
      </w:tr>
      <w:tr w:rsidR="00060959" w:rsidTr="008D5C0D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E</w:t>
            </w: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E</w:t>
            </w: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E</w:t>
            </w: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E</w:t>
            </w: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9540" w:type="dxa"/>
            <w:gridSpan w:val="14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Przygotowanie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dydaktyczno-metodyczne</w:t>
            </w:r>
            <w:proofErr w:type="spellEnd"/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E</w:t>
            </w: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E</w:t>
            </w: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9540" w:type="dxa"/>
            <w:gridSpan w:val="14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W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zakresie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praktyk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zawodowych</w:t>
            </w:r>
            <w:proofErr w:type="spellEnd"/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W08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W10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9540" w:type="dxa"/>
            <w:gridSpan w:val="14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Przygotowanie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merytoryczne</w:t>
            </w:r>
            <w:proofErr w:type="spellEnd"/>
          </w:p>
        </w:tc>
      </w:tr>
      <w:tr w:rsidR="00060959" w:rsidTr="008D5C0D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RPr="00345883" w:rsidTr="008D5C0D">
        <w:trPr>
          <w:cantSplit/>
          <w:trHeight w:val="259"/>
        </w:trPr>
        <w:tc>
          <w:tcPr>
            <w:tcW w:w="9540" w:type="dxa"/>
            <w:gridSpan w:val="14"/>
            <w:shd w:val="clear" w:color="auto" w:fill="E5ECF5"/>
            <w:vAlign w:val="center"/>
          </w:tcPr>
          <w:p w:rsidR="00060959" w:rsidRP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pl-PL" w:eastAsia="pl-PL"/>
              </w:rPr>
            </w:pPr>
            <w:r w:rsidRPr="00060959">
              <w:rPr>
                <w:rFonts w:ascii="Arial" w:eastAsia="Times New Roman" w:hAnsi="Arial" w:cs="Arial"/>
                <w:szCs w:val="24"/>
                <w:lang w:val="pl-PL" w:eastAsia="pl-PL"/>
              </w:rPr>
              <w:t>W zakresie przygotowania dydaktyczno-metodycznego</w:t>
            </w: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9540" w:type="dxa"/>
            <w:gridSpan w:val="14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W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zakresie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praktyk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zawodowych</w:t>
            </w:r>
            <w:proofErr w:type="spellEnd"/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U08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U09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U10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U11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259"/>
        </w:trPr>
        <w:tc>
          <w:tcPr>
            <w:tcW w:w="9540" w:type="dxa"/>
            <w:gridSpan w:val="14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Przygotowanie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merytoryczne</w:t>
            </w:r>
            <w:proofErr w:type="spellEnd"/>
          </w:p>
        </w:tc>
      </w:tr>
      <w:tr w:rsidR="00060959" w:rsidTr="008D5C0D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RPr="00345883" w:rsidTr="008D5C0D">
        <w:trPr>
          <w:cantSplit/>
          <w:trHeight w:val="337"/>
        </w:trPr>
        <w:tc>
          <w:tcPr>
            <w:tcW w:w="9540" w:type="dxa"/>
            <w:gridSpan w:val="14"/>
            <w:shd w:val="clear" w:color="auto" w:fill="E5ECF5"/>
            <w:vAlign w:val="center"/>
          </w:tcPr>
          <w:p w:rsidR="00060959" w:rsidRP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pl-PL" w:eastAsia="pl-PL"/>
              </w:rPr>
            </w:pPr>
            <w:r w:rsidRPr="00060959">
              <w:rPr>
                <w:rFonts w:ascii="Arial" w:eastAsia="Times New Roman" w:hAnsi="Arial" w:cs="Arial"/>
                <w:szCs w:val="24"/>
                <w:lang w:val="pl-PL" w:eastAsia="pl-PL"/>
              </w:rPr>
              <w:t>W zakresie przygotowania dydaktyczno-metodycznego</w:t>
            </w:r>
          </w:p>
        </w:tc>
      </w:tr>
      <w:tr w:rsidR="00060959" w:rsidTr="008D5C0D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K03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K05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K06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060959" w:rsidTr="008D5C0D">
        <w:trPr>
          <w:cantSplit/>
          <w:trHeight w:val="361"/>
        </w:trPr>
        <w:tc>
          <w:tcPr>
            <w:tcW w:w="9540" w:type="dxa"/>
            <w:gridSpan w:val="14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W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zakresie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pl-PL"/>
              </w:rPr>
              <w:t>praktyk</w:t>
            </w:r>
            <w:proofErr w:type="spellEnd"/>
          </w:p>
        </w:tc>
      </w:tr>
      <w:tr w:rsidR="00060959" w:rsidTr="008D5C0D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K07</w:t>
            </w: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1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3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42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825" w:type="dxa"/>
            <w:shd w:val="clear" w:color="auto" w:fill="FFFFFF"/>
          </w:tcPr>
          <w:p w:rsidR="00060959" w:rsidRDefault="00060959" w:rsidP="008D5C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060959" w:rsidRDefault="00060959" w:rsidP="00060959">
      <w:pPr>
        <w:suppressAutoHyphens/>
        <w:spacing w:after="120" w:line="240" w:lineRule="auto"/>
        <w:rPr>
          <w:rFonts w:ascii="Arial" w:eastAsia="Times New Roman" w:hAnsi="Arial" w:cs="Arial"/>
          <w:color w:val="0D7C8B"/>
          <w:sz w:val="28"/>
          <w:szCs w:val="28"/>
          <w:lang w:eastAsia="ar-SA"/>
        </w:rPr>
      </w:pPr>
    </w:p>
    <w:p w:rsidR="00060959" w:rsidRDefault="00060959" w:rsidP="00060959">
      <w:pPr>
        <w:suppressAutoHyphens/>
        <w:spacing w:after="120" w:line="240" w:lineRule="auto"/>
        <w:rPr>
          <w:rFonts w:ascii="Arial" w:eastAsia="Times New Roman" w:hAnsi="Arial" w:cs="Arial"/>
          <w:color w:val="0D7C8B"/>
          <w:sz w:val="28"/>
          <w:szCs w:val="28"/>
          <w:lang w:eastAsia="ar-SA"/>
        </w:rPr>
      </w:pPr>
    </w:p>
    <w:p w:rsidR="00060959" w:rsidRDefault="00060959" w:rsidP="00060959">
      <w:pPr>
        <w:suppressAutoHyphens/>
        <w:spacing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</w:t>
      </w:r>
    </w:p>
    <w:p w:rsidR="00060959" w:rsidRPr="00652B76" w:rsidRDefault="00060959" w:rsidP="00060959">
      <w:pPr>
        <w:suppressAutoHyphens/>
        <w:spacing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pieczęć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podpis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Dyrektora</w:t>
      </w:r>
      <w:proofErr w:type="spellEnd"/>
    </w:p>
    <w:p w:rsidR="00060959" w:rsidRDefault="00060959" w:rsidP="00060959">
      <w:pPr>
        <w:suppressAutoHyphens/>
        <w:spacing w:before="480" w:after="0" w:line="140" w:lineRule="exact"/>
        <w:jc w:val="right"/>
        <w:rPr>
          <w:rFonts w:ascii="Arial" w:eastAsia="Times New Roman" w:hAnsi="Arial" w:cs="Arial"/>
          <w:color w:val="0D7C8B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eastAsia="Times New Roman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eastAsia="Times New Roman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eastAsia="Times New Roman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eastAsia="Times New Roman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eastAsia="Times New Roman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eastAsia="Times New Roman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eastAsia="Times New Roman" w:hAnsi="Arial" w:cs="Arial"/>
          <w:color w:val="0D7C8B"/>
          <w:sz w:val="28"/>
          <w:szCs w:val="28"/>
          <w:lang w:eastAsia="ar-SA"/>
        </w:rPr>
        <w:tab/>
      </w:r>
      <w:r>
        <w:rPr>
          <w:rFonts w:ascii="Arial" w:eastAsia="Times New Roman" w:hAnsi="Arial" w:cs="Arial"/>
          <w:color w:val="0D7C8B"/>
          <w:sz w:val="28"/>
          <w:szCs w:val="28"/>
          <w:lang w:eastAsia="ar-SA"/>
        </w:rPr>
        <w:tab/>
      </w:r>
    </w:p>
    <w:p w:rsidR="00060959" w:rsidRDefault="00060959" w:rsidP="00060959">
      <w:pPr>
        <w:suppressAutoHyphens/>
        <w:spacing w:after="120" w:line="240" w:lineRule="auto"/>
        <w:rPr>
          <w:rFonts w:ascii="Arial" w:eastAsia="Times New Roman" w:hAnsi="Arial" w:cs="Arial"/>
          <w:color w:val="0D7C8B"/>
          <w:sz w:val="28"/>
          <w:szCs w:val="28"/>
          <w:lang w:eastAsia="ar-SA"/>
        </w:rPr>
      </w:pPr>
    </w:p>
    <w:p w:rsidR="00060959" w:rsidRDefault="00060959" w:rsidP="00060959">
      <w:pPr>
        <w:rPr>
          <w:rFonts w:ascii="Arial" w:hAnsi="Arial" w:cs="Arial"/>
        </w:rPr>
      </w:pPr>
    </w:p>
    <w:p w:rsidR="00F0734E" w:rsidRPr="00060959" w:rsidRDefault="00F0734E">
      <w:pPr>
        <w:rPr>
          <w:lang w:val="pl-PL"/>
        </w:rPr>
      </w:pPr>
    </w:p>
    <w:sectPr w:rsidR="00F0734E" w:rsidRPr="00060959" w:rsidSect="003A22A7">
      <w:footerReference w:type="default" r:id="rId7"/>
      <w:headerReference w:type="first" r:id="rId8"/>
      <w:footnotePr>
        <w:pos w:val="beneathText"/>
      </w:footnotePr>
      <w:pgSz w:w="11905" w:h="16837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EC" w:rsidRDefault="006E24EC">
      <w:pPr>
        <w:spacing w:after="0" w:line="240" w:lineRule="auto"/>
      </w:pPr>
      <w:r>
        <w:separator/>
      </w:r>
    </w:p>
  </w:endnote>
  <w:endnote w:type="continuationSeparator" w:id="0">
    <w:p w:rsidR="006E24EC" w:rsidRDefault="006E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B8" w:rsidRDefault="0006095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AB8" w:rsidRDefault="000609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45883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46.6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" stroked="f">
              <v:fill opacity="0"/>
              <v:textbox inset="0,0,0,0">
                <w:txbxContent>
                  <w:p w:rsidR="00720AB8" w:rsidRDefault="000609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45883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EC" w:rsidRDefault="006E24EC">
      <w:pPr>
        <w:spacing w:after="0" w:line="240" w:lineRule="auto"/>
      </w:pPr>
      <w:r>
        <w:separator/>
      </w:r>
    </w:p>
  </w:footnote>
  <w:footnote w:type="continuationSeparator" w:id="0">
    <w:p w:rsidR="006E24EC" w:rsidRDefault="006E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A7" w:rsidRPr="003A22A7" w:rsidRDefault="00060959" w:rsidP="003A22A7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5 do zarządzenia nr RD.Z.0211.3.2021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020D"/>
    <w:multiLevelType w:val="multilevel"/>
    <w:tmpl w:val="9D24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D60449"/>
    <w:multiLevelType w:val="multilevel"/>
    <w:tmpl w:val="35C8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D250BA"/>
    <w:multiLevelType w:val="multilevel"/>
    <w:tmpl w:val="8036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647CDD"/>
    <w:multiLevelType w:val="multilevel"/>
    <w:tmpl w:val="0CA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4654B"/>
    <w:multiLevelType w:val="multilevel"/>
    <w:tmpl w:val="5B30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59"/>
    <w:rsid w:val="00060959"/>
    <w:rsid w:val="00345883"/>
    <w:rsid w:val="006E24EC"/>
    <w:rsid w:val="00F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12F4C2-922E-45D4-B34F-AA573346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semiHidden/>
    <w:rsid w:val="00060959"/>
  </w:style>
  <w:style w:type="paragraph" w:styleId="Stopka">
    <w:name w:val="footer"/>
    <w:basedOn w:val="Normalny"/>
    <w:link w:val="StopkaZnak"/>
    <w:semiHidden/>
    <w:rsid w:val="000609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StopkaZnak">
    <w:name w:val="Stopka Znak"/>
    <w:basedOn w:val="Domylnaczcionkaakapitu"/>
    <w:link w:val="Stopka"/>
    <w:semiHidden/>
    <w:rsid w:val="0006095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awartotabeli">
    <w:name w:val="Zawartość tabeli"/>
    <w:basedOn w:val="Normalny"/>
    <w:rsid w:val="000609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060959"/>
    <w:pPr>
      <w:suppressAutoHyphens/>
      <w:autoSpaceDN w:val="0"/>
      <w:spacing w:after="0" w:line="240" w:lineRule="auto"/>
      <w:jc w:val="both"/>
    </w:pPr>
    <w:rPr>
      <w:rFonts w:ascii="Arial" w:eastAsia="Calibri" w:hAnsi="Arial" w:cs="Arial"/>
      <w:kern w:val="3"/>
      <w:sz w:val="24"/>
      <w:szCs w:val="24"/>
      <w:lang w:val="pl-PL"/>
    </w:rPr>
  </w:style>
  <w:style w:type="character" w:customStyle="1" w:styleId="normaltextrun">
    <w:name w:val="normaltextrun"/>
    <w:rsid w:val="00060959"/>
  </w:style>
  <w:style w:type="character" w:customStyle="1" w:styleId="spellingerror">
    <w:name w:val="spellingerror"/>
    <w:rsid w:val="00060959"/>
  </w:style>
  <w:style w:type="paragraph" w:customStyle="1" w:styleId="paragraph">
    <w:name w:val="paragraph"/>
    <w:basedOn w:val="Normalny"/>
    <w:rsid w:val="0006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060959"/>
  </w:style>
  <w:style w:type="paragraph" w:styleId="Tekstdymka">
    <w:name w:val="Balloon Text"/>
    <w:basedOn w:val="Normalny"/>
    <w:link w:val="TekstdymkaZnak"/>
    <w:uiPriority w:val="99"/>
    <w:semiHidden/>
    <w:unhideWhenUsed/>
    <w:rsid w:val="0034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Gertruda Wieczorek</dc:creator>
  <cp:keywords/>
  <dc:description/>
  <cp:lastModifiedBy>Wioletta Skrzypek</cp:lastModifiedBy>
  <cp:revision>3</cp:revision>
  <cp:lastPrinted>2022-06-22T06:23:00Z</cp:lastPrinted>
  <dcterms:created xsi:type="dcterms:W3CDTF">2022-05-22T18:37:00Z</dcterms:created>
  <dcterms:modified xsi:type="dcterms:W3CDTF">2022-06-22T06:24:00Z</dcterms:modified>
</cp:coreProperties>
</file>